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9128FE" w:rsidRDefault="00D85C2D" w:rsidP="0048375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A34D3B" w:rsidRDefault="00A34D3B" w:rsidP="0048375D">
      <w:pPr>
        <w:ind w:left="-567"/>
        <w:jc w:val="both"/>
        <w:rPr>
          <w:sz w:val="20"/>
          <w:szCs w:val="20"/>
          <w:lang w:val="kk-KZ"/>
        </w:rPr>
      </w:pPr>
    </w:p>
    <w:tbl>
      <w:tblPr>
        <w:tblW w:w="154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2"/>
        <w:gridCol w:w="12"/>
        <w:gridCol w:w="2468"/>
        <w:gridCol w:w="567"/>
        <w:gridCol w:w="851"/>
        <w:gridCol w:w="850"/>
        <w:gridCol w:w="1276"/>
        <w:gridCol w:w="1134"/>
        <w:gridCol w:w="7796"/>
      </w:tblGrid>
      <w:tr w:rsidR="0000468E" w:rsidRPr="00A34D3B" w:rsidTr="0000468E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D85C2D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115">
              <w:rPr>
                <w:sz w:val="20"/>
                <w:szCs w:val="20"/>
                <w:lang w:val="kk-KZ"/>
              </w:rPr>
              <w:t xml:space="preserve">           </w:t>
            </w:r>
            <w:r w:rsidR="0067076F" w:rsidRPr="007D6115">
              <w:rPr>
                <w:sz w:val="20"/>
                <w:szCs w:val="20"/>
                <w:lang w:val="kk-KZ"/>
              </w:rPr>
              <w:t xml:space="preserve">  </w:t>
            </w:r>
            <w:r w:rsidR="00E03853" w:rsidRPr="007D6115">
              <w:rPr>
                <w:sz w:val="20"/>
                <w:szCs w:val="20"/>
                <w:lang w:val="kk-KZ"/>
              </w:rPr>
              <w:t xml:space="preserve"> </w:t>
            </w:r>
            <w:r w:rsidR="004569E3" w:rsidRPr="00A34D3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>фасовка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 xml:space="preserve">Стоимость за ед. товара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>ТС</w:t>
            </w:r>
          </w:p>
        </w:tc>
      </w:tr>
      <w:tr w:rsidR="0000468E" w:rsidRPr="001B7508" w:rsidTr="0000468E">
        <w:trPr>
          <w:trHeight w:val="420"/>
        </w:trPr>
        <w:tc>
          <w:tcPr>
            <w:tcW w:w="15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68E" w:rsidRPr="001B7508" w:rsidRDefault="0000468E" w:rsidP="000B20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508">
              <w:rPr>
                <w:b/>
                <w:bCs/>
                <w:color w:val="000000"/>
                <w:sz w:val="20"/>
                <w:szCs w:val="20"/>
              </w:rPr>
              <w:t>Расходные материалы для биохимического автоматического анализатора CS-Т240</w:t>
            </w:r>
          </w:p>
        </w:tc>
      </w:tr>
      <w:tr w:rsidR="0000468E" w:rsidRPr="00A34D3B" w:rsidTr="0000468E">
        <w:trPr>
          <w:trHeight w:val="3328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Аланинаминотрансфераза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Alanine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Aminotransferase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) - ALT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21 775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108 875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количественного измерения и диагностического определения в условиях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активности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аланинаминотрансферазы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(АЛТ) в сыворотке или плазме крови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 T240. Принцип реакции данного реагента соответствует методу, рекомендованному Международной Федерацией Клинической Химии (IFCC). В присутствии АЛТ L-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аланин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вступает в реакцию с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α-</w:t>
            </w:r>
            <w:proofErr w:type="spellStart"/>
            <w:proofErr w:type="gramEnd"/>
            <w:r w:rsidRPr="0000468E">
              <w:rPr>
                <w:color w:val="000000"/>
                <w:sz w:val="15"/>
                <w:szCs w:val="15"/>
              </w:rPr>
              <w:t>кетоглутаратом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, в результате чего образуется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пируват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и L-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глутамат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 </w:t>
            </w:r>
            <w:proofErr w:type="spellStart"/>
            <w:proofErr w:type="gramStart"/>
            <w:r w:rsidRPr="0000468E">
              <w:rPr>
                <w:color w:val="000000"/>
                <w:sz w:val="15"/>
                <w:szCs w:val="15"/>
              </w:rPr>
              <w:t>Пируват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восстанавливается до L-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лактата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при помощи ЛДГ, присутствующей в реагенте, а тем временем НАДН окисляется до НАД, что позволяет снизить значение абсорбции до 340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Активность АЛТ можно проверить за счет измерения скорости снижения абсорбции при 340нм.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Эндогенетический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пируват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образца восстанавливается ЛДГ во время периода задержки реакции, таким образом, чтобы он не создавал помех для теста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Компоненты: Реагент 1 -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Аланин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600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ЛДГ &gt;1820ЕД/Л;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Трис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Буфер 80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Реагент 2 -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Трис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Буфер 80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НАДН &gt;0.75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α-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кетоглутарат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36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Содержит нереакционный материал и стабилизатор. Время проведения теста 60-120 секунд. Объем R1-240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Объем R2-60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Объем образца-15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.Количество тестов в упаковке не более 587. Калибровка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2. Линейный диапазон: 4-1000 </w:t>
            </w:r>
            <w:proofErr w:type="spellStart"/>
            <w:proofErr w:type="gramStart"/>
            <w:r w:rsidRPr="0000468E">
              <w:rPr>
                <w:color w:val="000000"/>
                <w:sz w:val="15"/>
                <w:szCs w:val="15"/>
              </w:rPr>
              <w:t>ед</w:t>
            </w:r>
            <w:proofErr w:type="spellEnd"/>
            <w:proofErr w:type="gramEnd"/>
            <w:r w:rsidRPr="0000468E">
              <w:rPr>
                <w:color w:val="000000"/>
                <w:sz w:val="15"/>
                <w:szCs w:val="15"/>
              </w:rPr>
              <w:t>/л .Реагенты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9B4E56">
        <w:trPr>
          <w:trHeight w:val="3533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lastRenderedPageBreak/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Аспартатаминотрансфераза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Aspartate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Aminotransferase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) - AST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21 775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108 875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количественного измерения и диагностического определения в условиях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активности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аспартатаминотрансферазы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(АСТ) в сыворотке или плазме крови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 T240. Принцип реакции данного реагента соответствует методу, рекомендованному Международной Федерацией Клинической Химии (IFCC).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Аспартатаминотрансфераза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(АСТ) в образце катализирует L-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аспартат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aминo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-,что приводит к преобразованию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α-</w:t>
            </w:r>
            <w:proofErr w:type="spellStart"/>
            <w:proofErr w:type="gramEnd"/>
            <w:r w:rsidRPr="0000468E">
              <w:rPr>
                <w:color w:val="000000"/>
                <w:sz w:val="15"/>
                <w:szCs w:val="15"/>
              </w:rPr>
              <w:t>кетоглутарата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 эфир уксусной кислоты и L-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глутамат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 Эфир уксусной кислоты восстанавливается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малатдегидрогеназой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 реагенте до L-яблочной кислоты.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В это время НАДН окисляется до НАД, так что значение абсорбции света при 340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снижается.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При контроле скорости снижения значения абсорбции при 340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, измеряют активность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аспартата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аминотрансферазы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(АСТ).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Помехи эндогенного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пирувата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могут быть удалены быстро и полностью во время запаздывания.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Компоненты: Реагент 1 -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Лактат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дегидрогеназа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&gt;1365 ЕД/Л; L-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аспартат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300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Трис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Буфер &gt;80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ЭДТА 5.0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Трис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Буфер &gt;80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Реагент 2 -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Малат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дегидрогеназа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&gt;1635 ЕД/Л; α-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кетоглутарат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36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НАДН &gt;0.75ммоль/л;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Трис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Буфер &gt;80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ЭДТА 5.0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л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.С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>одержит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нереакционный материал и стабилизатор. Время проведения теста 120~180 секунд. Объем R1-240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Объем R2-60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.Объем образца-15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.Количество тестов в упаковке не более 587. Калибровка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2. Линейный диапазон настоящего регента составляет 3 ~ 1000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ЕД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>/Л.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Есть дополнительные услуги : выезд сертифицированного специалиста для адаптации реагента .</w:t>
            </w:r>
          </w:p>
        </w:tc>
      </w:tr>
      <w:tr w:rsidR="0000468E" w:rsidRPr="00A34D3B" w:rsidTr="009B4E56">
        <w:trPr>
          <w:trHeight w:val="2973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  <w:lang w:val="en-US"/>
              </w:rPr>
            </w:pPr>
            <w:r w:rsidRPr="0000468E">
              <w:rPr>
                <w:color w:val="000000"/>
                <w:sz w:val="20"/>
                <w:szCs w:val="20"/>
              </w:rPr>
              <w:t>Общий</w:t>
            </w:r>
            <w:r w:rsidRPr="000046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0468E">
              <w:rPr>
                <w:color w:val="000000"/>
                <w:sz w:val="20"/>
                <w:szCs w:val="20"/>
              </w:rPr>
              <w:t>белок</w:t>
            </w:r>
            <w:r w:rsidRPr="0000468E">
              <w:rPr>
                <w:color w:val="000000"/>
                <w:sz w:val="20"/>
                <w:szCs w:val="20"/>
                <w:lang w:val="en-US"/>
              </w:rPr>
              <w:t xml:space="preserve"> (Total Protein) - TP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15 368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76 840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invitro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концентрации общего белка (TP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)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в сыворотке или плазме крови человека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В настоящем реагенте используется метод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биуретовой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реакции,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т.е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.п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>ри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реакции между пептидной связью молекулы белка и ионом меди образуется сине-пурпурный комплекс в щелочном растворе. Каждый ион меди образует комплекс с 5-6 пептидной связью. Добавление йодида в реагент может предотвратить автоматическую реверсию соединения меди. Сине-пурпурный пигмент находится в прямой пропорции к концентрации общего белка, которую можно рассчитать за счет измерения изменений абсорбции при 520~560нм. При использовании двухлучевого анализа длина волны холостого раствора должна быть установлена на 600~700нм. Компоненты: Сульфат меди 12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Виннокислый калий-натрий 64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Калия йодид 6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Натрия гидроксид 200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Время проведения реакции 300 секунд. Объем R1-250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 Объем образца-5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Количество тестов в упаковке не более 870 . Калибратор в наборе. Калибровка реагента проводится также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 . Линейный диапазон настоящего реагента – 0-150 г/л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Расстояние между дном флакона и штрих кодом должно соответствовать диапазону 15мм-25мм. Есть дополнительные услуги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выезд сертифицированного специалиста для адаптации реагента .</w:t>
            </w:r>
          </w:p>
        </w:tc>
      </w:tr>
      <w:tr w:rsidR="0000468E" w:rsidRPr="00A34D3B" w:rsidTr="0000468E">
        <w:trPr>
          <w:trHeight w:val="2966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Общий билирубин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Total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Bilirubin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) –TB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29 979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89 937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концентрации общего билирубина (TB) в сыворотке или плазме крови человека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В реагенте используется ПАВ в качестве растворителя. Связанный билирубин и несвязанный билирубин, которые были растворены, вступают в реакцию с диазо-сульфаниловой кислотой, в результате чего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образуетсяазо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-билирубин. Повышение абсорбции света при длине волны 570нм пропорционально концентрации общего билирубина. Концентрация общего билирубина в образце может быть рассчитана за счет проверки изменения абсорбции на длине волны 570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 При анализе двойного луча длина волны холостого образца должна быть настроена на длине волны 750нм. Компоненты: R1 - Соляная кислота 100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сульфаниловая кислота 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R2 - Нитрит натрия 72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Время проведения теста 300-600 секунд. Объем R1-250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Объем образца-25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Количество тестов в упаковке не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болеее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1068. .Калибратор в наборе. Калибровка реагента проводится также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 . Линейный диапазон настоящего реагента – 0~300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9B4E56">
        <w:trPr>
          <w:trHeight w:val="2825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lastRenderedPageBreak/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  <w:lang w:val="en-US"/>
              </w:rPr>
            </w:pPr>
            <w:r w:rsidRPr="0000468E">
              <w:rPr>
                <w:color w:val="000000"/>
                <w:sz w:val="20"/>
                <w:szCs w:val="20"/>
              </w:rPr>
              <w:t>Прямой</w:t>
            </w:r>
            <w:r w:rsidRPr="000046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0468E">
              <w:rPr>
                <w:color w:val="000000"/>
                <w:sz w:val="20"/>
                <w:szCs w:val="20"/>
              </w:rPr>
              <w:t>билирубин</w:t>
            </w:r>
            <w:r w:rsidRPr="0000468E">
              <w:rPr>
                <w:color w:val="000000"/>
                <w:sz w:val="20"/>
                <w:szCs w:val="20"/>
                <w:lang w:val="en-US"/>
              </w:rPr>
              <w:t xml:space="preserve"> (Direct Bilirubin) - DB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29 979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89 937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концентрации прямого билирубина (DB) в сыворотке или плазме крови человека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Прямой билирубин получают при реакции билирубина и соли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диазония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с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аминобензол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сульфониевой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кислотой в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гиперщелочных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гиперкислых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растворах, в результате чего образуется окрашенный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азо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-билирубин. Повышение абсорбции света при длине волны 570нм пропорционально концентрации прямого билирубина. Концентрация прямого билирубина в образце может быть рассчитана за счет проверки изменения абсорбции на длине волны 570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 Компоненты: R 1 -Соляная кислота 165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Метаниловая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кислота 29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R 2- Нитрит натрия 72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Длина волны 570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Объем R1-250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.Объем образца 25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Диапазон абсорбционной способности 0-2A. Время проведения теста 300 секунд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Количество тестов в упаковке не более 1068. .Калибратор в наборе. Калибровка реагента проводится также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2. Линейный диапазон настоящего реагента – 0~300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/л.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>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9B4E56">
        <w:trPr>
          <w:trHeight w:val="3118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 xml:space="preserve">Глюкоза </w:t>
            </w:r>
            <w:proofErr w:type="gramStart"/>
            <w:r w:rsidRPr="0000468E">
              <w:rPr>
                <w:color w:val="000000"/>
                <w:sz w:val="20"/>
                <w:szCs w:val="20"/>
              </w:rPr>
              <w:t>-о</w:t>
            </w:r>
            <w:proofErr w:type="gramEnd"/>
            <w:r w:rsidRPr="0000468E">
              <w:rPr>
                <w:color w:val="000000"/>
                <w:sz w:val="20"/>
                <w:szCs w:val="20"/>
              </w:rPr>
              <w:t>ксидаза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Glucose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Oxidase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) - GLU-OX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17 447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69 788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количественного определения в условиях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концентрации глюкозы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( 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GLU-OX), содержащейся в сыворотке, плазме крови или моче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Глюкоза в образце при активации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глюкозооксидазы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(GID) реагента, образует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глюконовую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кислоту и пероксид водорода. При наличии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пероксидазы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(POD) пероксид водорода вступает в реакцию с анилиновым красителем оригинального материала и 4-аминоантипирином, в результате чего образуется H2O 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хинониминовый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пигмент, образовавшийся объем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хинониминового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пигмента пропорционален содержанию глюкозы в образце. Расчет концентрации глюкозы в образце осуществляется за счет измерения окончательного объема пигмента при определенной длине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волны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>омпоненты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: R 1 -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Пероксидаза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375 </w:t>
            </w:r>
            <w:proofErr w:type="spellStart"/>
            <w:proofErr w:type="gramStart"/>
            <w:r w:rsidRPr="0000468E">
              <w:rPr>
                <w:color w:val="000000"/>
                <w:sz w:val="15"/>
                <w:szCs w:val="15"/>
              </w:rPr>
              <w:t>ед</w:t>
            </w:r>
            <w:proofErr w:type="spellEnd"/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/л;4-гидроксибензоат 15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4-аминоантипирин 0.75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л;PBS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110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R 2-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Глюкозооксидаза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6 кед/л; PBS 110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/л. Содержит нереакционный материал и стабилизатор. Время проведения теста 300~600 секунд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Объем R1-240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.Объем R2-60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.Объем образца-2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Количество тестов в упаковке не более 587.Калибратор в наборе. Калибровка реагента проводится также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 . Линейный диапазон составляет 0-40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на л (720мг/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) 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9B4E56">
        <w:trPr>
          <w:trHeight w:val="3121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Мочевина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Urea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) - UREA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41 460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165 840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концентрации мочевины (UREA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)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в сыворотке крови, плазме или моче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Мочевина в образце, катализированная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уреазой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 реагенте, вступает в реакцию с водой, в результате чего образуется аммиак и диоксид углерода. Аммиак и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α-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кетоглутаровая кислота в реагенте при катализе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глутамата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дегидрогеназы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(ГЛДГ) образуют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глутамовую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кислоту, при этом NADH окисляется до NAD . Таким образом, абсорбция света на 340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снижается. Контроль уровня снижения абсорбции света при 340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позволяет рассчитать концентрацию мочевины в образце. Компоненты: R1 - α-кетоглутаровая кислота 7.5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Глутамат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дегидрогеназа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&gt;800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ЕД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/Л; NADH 0.35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Аденозин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дифосфат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1.5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Трис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буфер 115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R 2 -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Трис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Буфер 115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Уреаза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&gt; 40000 ЕД/Л; α-кетоглутаровая кислота 7.5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Время проведения теста 60 секунд. Объем R1-240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Объем R2-60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.Объем образца-3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Количество тестов в упаковке не более 587. Калибратор в наборе. Калибровка реагента проводится также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2. Линейный диапазон настоящего реагента – 0-35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 (азот мочевины 98 мг/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)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>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9B4E56">
        <w:trPr>
          <w:trHeight w:val="3108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lastRenderedPageBreak/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Мочевая кислота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Uric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Acid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) - UA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34 894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69 788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концентрации мочевой кислоты (UA) в сыворотке крови или моче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При катализе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урата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оксидазы мочевая кислота в образце преобразуется в мочевую кислоту и пероксид водорода, под воздействием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пероксидазы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периксид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водорода вступает в реакцию с анилиновым красителем оригинального материала и 4-амино антипирина, в результате чего образуется вода 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хинониминовый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пигмент, объем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хинониминового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пигмента пропорционален содержанию мочевой кислоты в образце, поэтому концентрация мочевой кислоты в образце может быть рассчитана при анализе объема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пигмента при определенной длине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волны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>омпоненты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: R1 -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Пероксидаза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300ЕД/Л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;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3-бромо-бензойная кислота 2.5ммоль/л; Калия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ферроцианид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0.05ммоль/л; Буфер 150ммоль/л ; 4-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аминоантипирин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0.7ммоль/л. R2 - Буфер 150ммоль/л;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Уриказа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500ЕД/Л. Время проведение теста 5 минут. Основная длина волны 520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Объем R1-200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.Объем R2-50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.Объем образца-4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.Количество тестов в упаковке не более 671. Калибратор в наборе. Калибровка реагента проводится также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 . Линейный диапазон настоящего реагента составляет 0-1,5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 (25 мг/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) .Реагенты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9B4E56">
        <w:trPr>
          <w:trHeight w:val="1563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Креатинин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Creatinine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15 289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61 156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Набор предназначен для количественного определения содержания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креатинина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(CRE 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vit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)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в сыворотке, плазме крови или моче двухточечным (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псевдокинетическим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) методом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Скорость образования окрашенного комплекса с пикриновой кислотой в щелочной среде (реакция Яффе) пропорциональна концентрации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креатинина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 пробе и измеряется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фотометрически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при длине волны 505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. Реагенты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R1 -Гидроокись натрия . 260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 ; Детергент . 20 г/л .R2 -Пикриновая кислота -20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Калибратор - 177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 (2 мг/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) . Время проведения теста 13мин. Реагент R1 и R2в смешать в равном количестве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Объем R1-180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Объем образца -35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Количество тестов в упаковке не более 150 . Калибратор в наборе.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2. Линейность диапазон 25–885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Есть дополнительные услуги : выезд сертифицированного специалиста для адаптации реагента .</w:t>
            </w:r>
          </w:p>
        </w:tc>
      </w:tr>
      <w:tr w:rsidR="0000468E" w:rsidRPr="00A34D3B" w:rsidTr="0000468E">
        <w:trPr>
          <w:trHeight w:val="3517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  <w:lang w:val="en-US"/>
              </w:rPr>
            </w:pPr>
            <w:r w:rsidRPr="0000468E">
              <w:rPr>
                <w:color w:val="000000"/>
                <w:sz w:val="20"/>
                <w:szCs w:val="20"/>
              </w:rPr>
              <w:t>Общий</w:t>
            </w:r>
            <w:r w:rsidRPr="000046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0468E">
              <w:rPr>
                <w:color w:val="000000"/>
                <w:sz w:val="20"/>
                <w:szCs w:val="20"/>
              </w:rPr>
              <w:t>холестерин</w:t>
            </w:r>
            <w:r w:rsidRPr="0000468E">
              <w:rPr>
                <w:color w:val="000000"/>
                <w:sz w:val="20"/>
                <w:szCs w:val="20"/>
                <w:lang w:val="en-US"/>
              </w:rPr>
              <w:t xml:space="preserve"> (Total Cholesterol)- TC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52 353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261 765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концентрации общего холестерина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( 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TC ) в сыворотке или плазме человека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 T240. Холестериновый эфир в образце под воздействием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липопртеинэстеразы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 реагенте селективно катализируется 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гидролизуется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 холестерин и свободную жирную кислоту. Образующийся в результате общий холестерин, окисляемый оксидазой холестерина, формирует холест-4-ен-3-ен-3-кетон и пероксид водорода. Под воздействием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пероксидазы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периоксид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водорода вступает в реакцию с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гидроксибензойной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кислотой и 4-амино-антипирином с образованием H2O 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хинониминового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пигмента. При этом объем образующегося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хинониминового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пигмента пропорционален содержанию общего холестерина в образце. Поэтому измерение образуемого объема пигмента на определенной длине волны позволяет рассчитать концентрацию общего холестерина. Компоненты: R 1 -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Липопротеинлипаза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&gt; 300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ЕД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Пероксидаза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&gt; 750 ЕД/Л; p-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гидроксибензойная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кислота 45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Тритон X-100 0.3%; Буфер 50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R 2 - 4аминоантипирн 0.3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Холестериноксидаза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&gt; 300 ЕД/Л; Буфер 50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Время проведение теста 5~10 минут. Объем R1-240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Объем R2-60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.Объем образца-15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Количество тестов в упаковке не более 587. .Калибратор в наборе. Калибровка реагента проводится также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2. Линейный диапазон настоящего реагента – 0-20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 (774 мг/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).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Есть дополнительные услуги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выезд сертифицированного специалиста для адаптации реагента .</w:t>
            </w:r>
          </w:p>
        </w:tc>
      </w:tr>
      <w:tr w:rsidR="0000468E" w:rsidRPr="00A34D3B" w:rsidTr="009B4E56">
        <w:trPr>
          <w:trHeight w:val="3675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lastRenderedPageBreak/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Триглицериды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Triglycerides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) - 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60 997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121 994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концентрации триглицеридов (TG) в сыворотке или плазме человека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Триглицериды в образце катализируются липопротеин липазой (LPL) 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гидролизуются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 глицерин и свободную жирную кислоту, под воздействием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глицеринкиназы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(GK) и аденозин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трифосфата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(ATP) образуется глицерин, глицерин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фосфорилируется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 3-глицерофосфат. Под действием глицерин фосфат оксидазы (GPO), он вступает в реакцию с кислородом, в результате чего образуется пероксид водорода 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дигидроксиацетон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фосфат. Под воздействием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пероксидазы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периоксид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водорода вступает в реакцию с анилиновым красителем оригинального материала и 4-амино-антипирином с образованием H2O 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хинониминового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пигмента. При этом объем образующегося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хинониминового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пигмента пропорционален содержанию общего триглицеридов в образце. Поэтому измерение образуемого объема пигмента на определенной длине волны позволяет рассчитать концентрацию триглицеридов. Компоненты: R1- Липопротеин липаза (LPL) &gt;1250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ЕД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/Л; ATP 0.70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ЭДТА 10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TOOS 1.875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Сульфат магния 12.5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GPO &gt;5000 ЕД/Л; Глицерин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киназа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(GK) &gt;1250 ЕД/Л; Буфер 100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R 2 - POD&gt;750 ЕД/Л; ЭДТА 10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4-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аминоантипирин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2.0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Буфер 100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/л. Объем R1-240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Объем R2-60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Объем образца-3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Количество тестов в упаковке не более 587. Калибратор в наборе. Калибровка реагента проводится также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 . Линейный диапазон реагента – 0-9,0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00468E">
        <w:trPr>
          <w:trHeight w:val="2693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Амилаза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Amylase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) - AMY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313 677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941 031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лабораторного квантитативного определения активности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ɑ-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амилаза (AMY) в сыворотке крови человека или моче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Данный реагент действует методу, рекомендованному Международной федерацией клинической химии (IFCC), этилен-pNP-G7 (E-pNP-G7) принимается в качестве субстрата для предотвращения разложения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эктоэнзима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 Компоненты: R1-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Глюкозидаза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r w:rsidRPr="0000468E">
              <w:rPr>
                <w:rFonts w:eastAsia="MS Gothic"/>
                <w:color w:val="000000"/>
                <w:sz w:val="15"/>
                <w:szCs w:val="15"/>
              </w:rPr>
              <w:t>＞</w:t>
            </w:r>
            <w:r w:rsidRPr="0000468E">
              <w:rPr>
                <w:color w:val="000000"/>
                <w:sz w:val="15"/>
                <w:szCs w:val="15"/>
              </w:rPr>
              <w:t xml:space="preserve">4500 у./л.; Сульфат магния 10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./л.; Хлорид натрия 50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./л.; Буфер HEPES 50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./л. R2 - E pNP-G7 5.5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./л.;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уфер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HEPES 50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./л.; Хлорид натрия 50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./л.; Компоненты не могут быть взаимозаменяемы в различных комплектах. Время проведения теста 60 сек. Объем R1-240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Объем R2-60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Объем образца-7,5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Количество тестов в упаковке не более 783. Калибровка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 . Линейный диапазон реагента: свыше 1500 у/л.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Есть дополнительные услуги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выезд сертифицированного специалиста для адаптации реагента.</w:t>
            </w:r>
          </w:p>
        </w:tc>
      </w:tr>
      <w:tr w:rsidR="0000468E" w:rsidRPr="00A34D3B" w:rsidTr="0000468E">
        <w:trPr>
          <w:trHeight w:val="2406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 xml:space="preserve">Железо (FERUM) -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56 387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169 161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лабораторного квантитативного обнаружения содержания железа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( </w:t>
            </w:r>
            <w:proofErr w:type="spellStart"/>
            <w:proofErr w:type="gramEnd"/>
            <w:r w:rsidRPr="0000468E">
              <w:rPr>
                <w:color w:val="000000"/>
                <w:sz w:val="15"/>
                <w:szCs w:val="15"/>
              </w:rPr>
              <w:t>Fe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)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всыворотке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крови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В кислотных условиях,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сыворотное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железо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Fe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разлагается на составные части; ионы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Fe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ion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реагируют на химический реагент и хромогенный реагент, формируя смесь голубого цвета; при 600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, измеряется изменение абсорбции; оно прямо пропорционально концентрации железа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Fe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.Реагенты: R1- Этиловая кислотная смесь - 200ммоль/л 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Сульфокарбамид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-42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 . R2 -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хлоргидрат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гидроксиламина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-200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/л;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Ferene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-2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Время проведения теста 300сек . Объем R1-200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Объем R2-40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Объем образца-20мкл . Количество тестов в упаковке не более 633. Калибровка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мультикалибраторе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Контроль реагента проводится на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мультиконтроле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Уровень 1 и 2 . Линейный диапазон: 5μмоль/л—120μмоль/л 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9B4E56">
        <w:trPr>
          <w:trHeight w:val="112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Сыворотка для клинико-химической</w:t>
            </w:r>
            <w:r w:rsidRPr="0000468E">
              <w:rPr>
                <w:color w:val="000000"/>
                <w:sz w:val="20"/>
                <w:szCs w:val="20"/>
              </w:rPr>
              <w:br/>
              <w:t>калибровки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Clinical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Chemical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Calibration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Serum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5ml*4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161 240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161 240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Калибровочный раствор приготовлен на основе биоматериала человека,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лиофилизированный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порошок предназначен для калибровки клинического определения ряда биохимических показателей калибровки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 следующих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аналитов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: ALB, ALP, ALT, AMY, AST, BUN, UREA,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Ca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-CPC,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Ca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-ARS, CHE, CK, CL, CO2, CRE, CRE-ENZYME, D-BIL, D-BIL-V, GGT, GLDH, GLU-HK, GLU-OX, HBDH, K, LAP, LDH,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Mg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-XB,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Na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, P-AMY, PHOS, TB, TB-V, TBA, TC, TG, TP, UA,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Zn,Fe,TIBC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. ACP. Фасовка 5 мл х 4.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00468E">
        <w:trPr>
          <w:trHeight w:val="1123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lastRenderedPageBreak/>
              <w:t>15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Сыворотка для клинико-химического контроля качества Уровень 1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Clinical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Chemical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Quality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Serum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5ml*4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148 256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148 256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Контрольный материал «Сыворотка контрольная для биохимических исследований уровень 1",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лиофилизованный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препарат от светло-желтого до светло-кремового цвета для оценки точности 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воспроизводимости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 следующих параметров: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ALB, ALP, ALT, AMY, AST, BUN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( 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UREA),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Ca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-CPC,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Ca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-ARS, CHE, CK, CL, CO2, CRE, CRE-ENZYME, D-BIL, D-BIL-V, GGT, GLDH, GLU-HK, GLU-OX, HBDH, K, LAP, LDH,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Mg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-XB,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Na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, P-AMY, PHOS, TB, TB-V, TBA, TC, TG, TP, UA,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Zn,Fe,TIBC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. ACP. Фасовка 5 мл х 4. Есть дополнительные услуги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выезд сертифицированного специалиста для адаптации реагента .</w:t>
            </w:r>
          </w:p>
        </w:tc>
      </w:tr>
      <w:tr w:rsidR="0000468E" w:rsidRPr="00A34D3B" w:rsidTr="0000468E">
        <w:trPr>
          <w:trHeight w:val="1252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Сыворотка для клинико-химического контроля качества Уровень 2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Clinical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Chemical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Quality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Serum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5ml*4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109 034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109 034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Контрольный материал «Сыворотка контрольная для биохимических исследований уровень 2 ",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лиофилизованный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препарат от светло-желтого до светло-кремового цвета для оценки точности 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воспроизводимости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 следующих параметров: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ALB, ALP, ALT, AMY, AST, BUN, UREA,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Ca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-CPC,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Ca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-ARS, CHE, CK, CL, CO2, CRE, CRE-ENZYME, D-BIL, D-BIL-V, GGT, GLDH, GLU-HK, GLU-OX, HBDH, K, LAP, LDH,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Mg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-XB,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Na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, P-AMY, PHOS, TB, TB-V, TBA, TC, TG, TP, UA,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Zn,Fe,TIBC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. ACP. Фасовка 5 мл х 4. Есть дополнительные услуги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выезд сертифицированного специалиста для адаптации реагента .</w:t>
            </w:r>
          </w:p>
        </w:tc>
      </w:tr>
      <w:tr w:rsidR="0000468E" w:rsidRPr="00A34D3B" w:rsidTr="0000468E">
        <w:trPr>
          <w:trHeight w:val="987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 xml:space="preserve">CS-Антибактериальный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безфосфорный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детергент (CS-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Bacterial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Phosphor-Free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Detergent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500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69 359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138 718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Антибактериальный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безфосфорный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детергент для очистки зонда для отбора реактивов, реакционной кюветы и реакционной чашки для замачивания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автохимического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анализатора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Поверхностно-активное вещество гидроксид натрия может удалять органические вещества, такие как белок, а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бактериостаты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могут подавлять рост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бактерий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.И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>нгредиент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- Натрия гидроксид, поверхностно-активное вещество,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бактериостаты.Объем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500 мл.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9B4E56">
        <w:trPr>
          <w:trHeight w:val="689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  <w:lang w:val="en-US"/>
              </w:rPr>
            </w:pPr>
            <w:r w:rsidRPr="0000468E">
              <w:rPr>
                <w:color w:val="000000"/>
                <w:sz w:val="20"/>
                <w:szCs w:val="20"/>
              </w:rPr>
              <w:t>Щелочной</w:t>
            </w:r>
            <w:r w:rsidRPr="000046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0468E">
              <w:rPr>
                <w:color w:val="000000"/>
                <w:sz w:val="20"/>
                <w:szCs w:val="20"/>
              </w:rPr>
              <w:t>детергент</w:t>
            </w:r>
            <w:r w:rsidRPr="0000468E">
              <w:rPr>
                <w:color w:val="000000"/>
                <w:sz w:val="20"/>
                <w:szCs w:val="20"/>
                <w:lang w:val="en-US"/>
              </w:rPr>
              <w:t xml:space="preserve"> (CS-Alkaline Detergent)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2000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69 359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138 718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Щелочной детергент для очистки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пробоотборного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зонда и реакционной кюветы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автохимического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анализатора серии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 T240. Поверхностно-активное вещество и гидроксид натрия могут удалять органические вещества, такие как белок. Ингредиент - Натрия гидроксид, поверхностно-активное вещество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Объем 2000 мл.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00468E">
        <w:trPr>
          <w:trHeight w:val="226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A34D3B" w:rsidRDefault="0000468E" w:rsidP="000B209C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Пластиковые стаканчики (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Plastic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68E">
              <w:rPr>
                <w:color w:val="000000"/>
                <w:sz w:val="20"/>
                <w:szCs w:val="20"/>
              </w:rPr>
              <w:t>cups</w:t>
            </w:r>
            <w:proofErr w:type="spellEnd"/>
            <w:r w:rsidRPr="0000468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468E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jc w:val="center"/>
              <w:rPr>
                <w:color w:val="000000"/>
                <w:sz w:val="20"/>
                <w:szCs w:val="20"/>
              </w:rPr>
            </w:pPr>
            <w:r w:rsidRPr="0000468E">
              <w:rPr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68E" w:rsidRPr="0000468E" w:rsidRDefault="0000468E" w:rsidP="000B209C">
            <w:pPr>
              <w:rPr>
                <w:color w:val="000000"/>
                <w:sz w:val="15"/>
                <w:szCs w:val="15"/>
              </w:rPr>
            </w:pPr>
            <w:r w:rsidRPr="0000468E">
              <w:rPr>
                <w:color w:val="000000"/>
                <w:sz w:val="15"/>
                <w:szCs w:val="15"/>
              </w:rPr>
              <w:t xml:space="preserve">Реагент применяется для количественного определения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содержания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ферритина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-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Fer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в сыворотке или плазме на биохимическом анализаторе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CS-T240. Реактив использует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иммунотурбидиметрический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анализ с латексным усилением. Антитело к 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человеческому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Fer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объединяют с частицами латекса путем химического сшивания. Если образец содержит соответствующий антиген, они объединяются с частицами латекса-антитела с образованием соединений частиц антиген-антитело-латекс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Длина основной волны 570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/700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нм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. Линейный диапазон: 10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нг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/мл - 1000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нг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/мл . R1: Глициновый буфер- 160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>/л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;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R2: Глициновый буфер- 160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/л ; Частицы латекса, покрытые антителами к человеческому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Fer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- 0,05 . Объем R1- 140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; Объем R2- 70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</w:t>
            </w:r>
            <w:proofErr w:type="spellEnd"/>
            <w:r w:rsidRPr="0000468E">
              <w:rPr>
                <w:color w:val="000000"/>
                <w:sz w:val="15"/>
                <w:szCs w:val="15"/>
              </w:rPr>
              <w:t xml:space="preserve"> ; Объем пробы -7 </w:t>
            </w:r>
            <w:proofErr w:type="spellStart"/>
            <w:r w:rsidRPr="0000468E">
              <w:rPr>
                <w:color w:val="000000"/>
                <w:sz w:val="15"/>
                <w:szCs w:val="15"/>
              </w:rPr>
              <w:t>мкл</w:t>
            </w:r>
            <w:proofErr w:type="spellEnd"/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>Время реакции 300 с . Количество тестов в упаковке не менее 866. Калибратор и контроль в наборе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Изделие стабильно в течение 30 дней при температуре 2°C - 8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>°С</w:t>
            </w:r>
            <w:proofErr w:type="gramEnd"/>
            <w:r w:rsidRPr="0000468E">
              <w:rPr>
                <w:color w:val="000000"/>
                <w:sz w:val="15"/>
                <w:szCs w:val="15"/>
              </w:rPr>
              <w:t xml:space="preserve"> после вскрытия. Есть дополнительные услуги : выезд сертифицированного специалиста для адаптации реагента</w:t>
            </w:r>
            <w:proofErr w:type="gramStart"/>
            <w:r w:rsidRPr="0000468E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00468E" w:rsidRPr="00A34D3B" w:rsidTr="0000468E">
        <w:trPr>
          <w:trHeight w:val="375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A34D3B" w:rsidRDefault="0000468E" w:rsidP="000B209C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34D3B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B20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68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00468E" w:rsidRDefault="0000468E" w:rsidP="0000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</w:t>
            </w:r>
            <w:r w:rsidR="009B4E5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00468E">
              <w:rPr>
                <w:b/>
                <w:bCs/>
                <w:color w:val="000000"/>
                <w:sz w:val="20"/>
                <w:szCs w:val="20"/>
              </w:rPr>
              <w:t>3 120 953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68E" w:rsidRPr="00A34D3B" w:rsidRDefault="0000468E" w:rsidP="000B209C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34D3B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</w:tbl>
    <w:p w:rsidR="0000468E" w:rsidRDefault="0000468E" w:rsidP="0048375D">
      <w:pPr>
        <w:ind w:left="-567"/>
        <w:jc w:val="both"/>
        <w:rPr>
          <w:sz w:val="20"/>
          <w:szCs w:val="20"/>
          <w:lang w:val="en-US"/>
        </w:rPr>
      </w:pPr>
      <w:bookmarkStart w:id="0" w:name="_GoBack"/>
      <w:bookmarkEnd w:id="0"/>
    </w:p>
    <w:p w:rsidR="00D85C2D" w:rsidRPr="004278A4" w:rsidRDefault="002E596C" w:rsidP="009B4E56">
      <w:pPr>
        <w:jc w:val="both"/>
        <w:rPr>
          <w:b/>
          <w:u w:val="single"/>
        </w:rPr>
      </w:pPr>
      <w:r w:rsidRPr="002E596C">
        <w:t xml:space="preserve">  1. </w:t>
      </w:r>
      <w:r w:rsidR="00D85C2D" w:rsidRPr="002E596C">
        <w:t>Срок и условия поставки:</w:t>
      </w:r>
      <w:r w:rsidR="00E03853" w:rsidRPr="002E596C">
        <w:t xml:space="preserve"> </w:t>
      </w:r>
      <w:r w:rsidR="004278A4" w:rsidRPr="004278A4">
        <w:rPr>
          <w:b/>
          <w:color w:val="000000"/>
          <w:u w:val="single"/>
        </w:rPr>
        <w:t xml:space="preserve">по заявке </w:t>
      </w:r>
      <w:r w:rsidR="004278A4">
        <w:rPr>
          <w:b/>
          <w:color w:val="000000"/>
          <w:u w:val="single"/>
        </w:rPr>
        <w:t>(в течени</w:t>
      </w:r>
      <w:proofErr w:type="gramStart"/>
      <w:r w:rsidR="004278A4">
        <w:rPr>
          <w:b/>
          <w:color w:val="000000"/>
          <w:u w:val="single"/>
        </w:rPr>
        <w:t>и</w:t>
      </w:r>
      <w:proofErr w:type="gramEnd"/>
      <w:r w:rsidR="004278A4">
        <w:rPr>
          <w:b/>
          <w:color w:val="000000"/>
          <w:u w:val="single"/>
        </w:rPr>
        <w:t xml:space="preserve"> 15 дней после получения заявки) </w:t>
      </w:r>
      <w:r w:rsidR="004278A4" w:rsidRPr="004278A4">
        <w:rPr>
          <w:b/>
          <w:color w:val="000000"/>
          <w:u w:val="single"/>
        </w:rPr>
        <w:t>Заказчика в течении календарного года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</w:t>
      </w:r>
      <w:r w:rsidRPr="006C41D0">
        <w:rPr>
          <w:b/>
        </w:rPr>
        <w:t>302 кабинет</w:t>
      </w:r>
      <w:r w:rsidRPr="00D1425A">
        <w:t xml:space="preserve">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4278A4">
        <w:rPr>
          <w:b/>
          <w:u w:val="single"/>
        </w:rPr>
        <w:t xml:space="preserve">15 </w:t>
      </w:r>
      <w:r w:rsidR="006C41D0" w:rsidRPr="006C41D0">
        <w:rPr>
          <w:b/>
          <w:u w:val="single"/>
        </w:rPr>
        <w:t xml:space="preserve"> февраля </w:t>
      </w:r>
      <w:r w:rsidRPr="006C41D0">
        <w:rPr>
          <w:b/>
          <w:u w:val="single"/>
        </w:rPr>
        <w:t xml:space="preserve"> 202</w:t>
      </w:r>
      <w:r w:rsidR="0067076F" w:rsidRPr="006C41D0">
        <w:rPr>
          <w:b/>
          <w:u w:val="single"/>
        </w:rPr>
        <w:t>3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4278A4">
        <w:t xml:space="preserve"> 16</w:t>
      </w:r>
      <w:r w:rsidR="006C41D0">
        <w:t xml:space="preserve"> февраля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67076F">
        <w:t>3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D85C2D" w:rsidP="00CD36F0">
      <w:pPr>
        <w:spacing w:before="240"/>
      </w:pPr>
      <w:r w:rsidRPr="00D1425A">
        <w:rPr>
          <w:b/>
        </w:rPr>
        <w:t xml:space="preserve">                      </w:t>
      </w:r>
      <w:r w:rsidR="009128FE">
        <w:rPr>
          <w:b/>
        </w:rPr>
        <w:t xml:space="preserve">           </w:t>
      </w:r>
      <w:r w:rsidRPr="00D1425A">
        <w:rPr>
          <w:b/>
        </w:rPr>
        <w:t xml:space="preserve">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</w:t>
      </w:r>
      <w:r w:rsidR="009128FE">
        <w:rPr>
          <w:b/>
        </w:rPr>
        <w:t xml:space="preserve">            </w:t>
      </w:r>
      <w:r w:rsidRPr="003E740E">
        <w:rPr>
          <w:b/>
        </w:rPr>
        <w:t>Ж.</w:t>
      </w:r>
      <w:r w:rsidRPr="003E740E">
        <w:rPr>
          <w:b/>
          <w:lang w:val="kk-KZ"/>
        </w:rPr>
        <w:t xml:space="preserve"> </w:t>
      </w:r>
      <w:r w:rsidR="009128FE">
        <w:rPr>
          <w:b/>
          <w:lang w:val="kk-KZ"/>
        </w:rPr>
        <w:t>П.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173DA5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468E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641"/>
    <w:rsid w:val="00130EDF"/>
    <w:rsid w:val="00130F9B"/>
    <w:rsid w:val="00133BB2"/>
    <w:rsid w:val="001414C7"/>
    <w:rsid w:val="00145306"/>
    <w:rsid w:val="00145E7C"/>
    <w:rsid w:val="00146A42"/>
    <w:rsid w:val="00147249"/>
    <w:rsid w:val="0015126D"/>
    <w:rsid w:val="00161C52"/>
    <w:rsid w:val="001633B5"/>
    <w:rsid w:val="001656B4"/>
    <w:rsid w:val="00173DA5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508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28B0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E596C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1637E"/>
    <w:rsid w:val="00320A96"/>
    <w:rsid w:val="00323153"/>
    <w:rsid w:val="00325AE3"/>
    <w:rsid w:val="0033091F"/>
    <w:rsid w:val="003338A1"/>
    <w:rsid w:val="00335567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5975"/>
    <w:rsid w:val="003F79D6"/>
    <w:rsid w:val="00402758"/>
    <w:rsid w:val="004033C3"/>
    <w:rsid w:val="00410408"/>
    <w:rsid w:val="00412CD3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278A4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69E3"/>
    <w:rsid w:val="00457D75"/>
    <w:rsid w:val="004617AE"/>
    <w:rsid w:val="00462F4D"/>
    <w:rsid w:val="004706F5"/>
    <w:rsid w:val="00470DD3"/>
    <w:rsid w:val="00471A6C"/>
    <w:rsid w:val="0048375D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41D0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D6115"/>
    <w:rsid w:val="007F2211"/>
    <w:rsid w:val="007F7446"/>
    <w:rsid w:val="00804BA3"/>
    <w:rsid w:val="008050ED"/>
    <w:rsid w:val="00805885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28FE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4E56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4D3B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27D6E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36F0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5299"/>
    <w:rsid w:val="00E77A24"/>
    <w:rsid w:val="00E80DBA"/>
    <w:rsid w:val="00E8159F"/>
    <w:rsid w:val="00E86B48"/>
    <w:rsid w:val="00E902EA"/>
    <w:rsid w:val="00E903DE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C52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8F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412C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412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2023-02-08T11:08:00Z</dcterms:created>
  <dcterms:modified xsi:type="dcterms:W3CDTF">2023-02-08T11:08:00Z</dcterms:modified>
</cp:coreProperties>
</file>